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498A" w14:textId="77777777" w:rsidR="00B917D4" w:rsidRPr="00494099" w:rsidRDefault="00B917D4" w:rsidP="00494099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2ADAFD3D" w14:textId="77777777" w:rsidR="00B917D4" w:rsidRPr="00494099" w:rsidRDefault="00B917D4" w:rsidP="00494099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2E31D94A" w14:textId="77777777" w:rsidR="00B917D4" w:rsidRPr="00494099" w:rsidRDefault="00B917D4" w:rsidP="00494099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4969B457" w14:textId="77777777" w:rsidR="00B917D4" w:rsidRPr="00494099" w:rsidRDefault="00B917D4" w:rsidP="00494099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773839E1" w14:textId="77777777" w:rsidR="00494099" w:rsidRDefault="00494099" w:rsidP="0075615E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4311697E" w14:textId="77777777" w:rsidR="00B35FF4" w:rsidRDefault="00B35FF4" w:rsidP="0075615E">
      <w:pPr>
        <w:tabs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</w:p>
    <w:p w14:paraId="081BDC00" w14:textId="77777777" w:rsidR="0082589A" w:rsidRPr="0082589A" w:rsidRDefault="0082589A" w:rsidP="0075615E">
      <w:pPr>
        <w:tabs>
          <w:tab w:val="right" w:pos="9214"/>
        </w:tabs>
        <w:spacing w:after="0"/>
        <w:rPr>
          <w:rFonts w:ascii="Century Gothic" w:hAnsi="Century Gothic"/>
          <w:sz w:val="12"/>
          <w:szCs w:val="12"/>
        </w:rPr>
      </w:pPr>
    </w:p>
    <w:p w14:paraId="2FD3A4DF" w14:textId="5BA133BB" w:rsidR="0082589A" w:rsidRDefault="0082589A" w:rsidP="004D1E36">
      <w:pPr>
        <w:tabs>
          <w:tab w:val="left" w:pos="6521"/>
          <w:tab w:val="right" w:pos="9214"/>
        </w:tabs>
        <w:spacing w:after="0"/>
        <w:rPr>
          <w:rFonts w:ascii="Century Gothic" w:hAnsi="Century Gothic"/>
          <w:sz w:val="24"/>
          <w:szCs w:val="24"/>
        </w:rPr>
      </w:pPr>
      <w:r w:rsidRPr="0082589A">
        <w:rPr>
          <w:rFonts w:ascii="Century Gothic" w:hAnsi="Century Gothic"/>
          <w:b/>
          <w:vanish/>
          <w:color w:val="FF0000"/>
          <w:sz w:val="24"/>
          <w:szCs w:val="24"/>
        </w:rPr>
        <w:t>Adressfeld:</w:t>
      </w:r>
      <w:r>
        <w:rPr>
          <w:rFonts w:ascii="Century Gothic" w:hAnsi="Century Gothic"/>
          <w:sz w:val="24"/>
          <w:szCs w:val="24"/>
        </w:rPr>
        <w:tab/>
        <w:t xml:space="preserve">Höllrich, </w:t>
      </w:r>
      <w:r w:rsidR="00487948">
        <w:rPr>
          <w:rFonts w:ascii="Century Gothic" w:hAnsi="Century Gothic"/>
          <w:sz w:val="24"/>
          <w:szCs w:val="24"/>
        </w:rPr>
        <w:fldChar w:fldCharType="begin"/>
      </w:r>
      <w:r w:rsidR="00487948">
        <w:rPr>
          <w:rFonts w:ascii="Century Gothic" w:hAnsi="Century Gothic"/>
          <w:sz w:val="24"/>
          <w:szCs w:val="24"/>
        </w:rPr>
        <w:instrText xml:space="preserve"> TIME \@ "dd. MMM. yyyy" </w:instrText>
      </w:r>
      <w:r w:rsidR="00487948">
        <w:rPr>
          <w:rFonts w:ascii="Century Gothic" w:hAnsi="Century Gothic"/>
          <w:sz w:val="24"/>
          <w:szCs w:val="24"/>
        </w:rPr>
        <w:fldChar w:fldCharType="separate"/>
      </w:r>
      <w:r w:rsidR="006141BD">
        <w:rPr>
          <w:rFonts w:ascii="Century Gothic" w:hAnsi="Century Gothic"/>
          <w:noProof/>
          <w:sz w:val="24"/>
          <w:szCs w:val="24"/>
        </w:rPr>
        <w:t>11. Jan. 2023</w:t>
      </w:r>
      <w:r w:rsidR="00487948">
        <w:rPr>
          <w:rFonts w:ascii="Century Gothic" w:hAnsi="Century Gothic"/>
          <w:sz w:val="24"/>
          <w:szCs w:val="24"/>
        </w:rPr>
        <w:fldChar w:fldCharType="end"/>
      </w:r>
    </w:p>
    <w:p w14:paraId="6568D3AE" w14:textId="4167386B" w:rsidR="00B35FF4" w:rsidRPr="00B35FF4" w:rsidRDefault="006141BD" w:rsidP="0082589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</w:t>
      </w:r>
    </w:p>
    <w:p w14:paraId="1AA9439A" w14:textId="1E772DF5" w:rsidR="00EE2DE2" w:rsidRDefault="00745F45" w:rsidP="00B917D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Deutscher Bundestag</w:t>
      </w:r>
    </w:p>
    <w:p w14:paraId="43F088D0" w14:textId="358A4BBD" w:rsidR="005C5E23" w:rsidRDefault="00745F45" w:rsidP="00B917D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Platz der Republik 1</w:t>
      </w:r>
    </w:p>
    <w:p w14:paraId="1DDE2241" w14:textId="0E5BF3BB" w:rsidR="00EE2DE2" w:rsidRDefault="00745F45" w:rsidP="00B917D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11011 Berlin</w:t>
      </w:r>
    </w:p>
    <w:p w14:paraId="4AC029DE" w14:textId="562EDA7E" w:rsidR="00494099" w:rsidRDefault="00494099" w:rsidP="00B917D4">
      <w:pPr>
        <w:spacing w:after="0"/>
        <w:rPr>
          <w:rFonts w:ascii="Century Gothic" w:hAnsi="Century Gothic"/>
          <w:sz w:val="24"/>
          <w:szCs w:val="24"/>
        </w:rPr>
      </w:pPr>
    </w:p>
    <w:p w14:paraId="49130DB7" w14:textId="77777777" w:rsidR="00494099" w:rsidRDefault="00494099" w:rsidP="00B917D4">
      <w:pPr>
        <w:spacing w:after="0"/>
        <w:rPr>
          <w:rFonts w:ascii="Century Gothic" w:hAnsi="Century Gothic"/>
          <w:sz w:val="24"/>
          <w:szCs w:val="24"/>
        </w:rPr>
      </w:pPr>
    </w:p>
    <w:p w14:paraId="7B020263" w14:textId="77777777" w:rsidR="005752DC" w:rsidRPr="00B35FF4" w:rsidRDefault="005752DC" w:rsidP="00B917D4">
      <w:pPr>
        <w:spacing w:after="0"/>
        <w:rPr>
          <w:rFonts w:ascii="Century Gothic" w:hAnsi="Century Gothic"/>
          <w:sz w:val="24"/>
          <w:szCs w:val="24"/>
        </w:rPr>
      </w:pPr>
    </w:p>
    <w:p w14:paraId="17229929" w14:textId="113FD15A" w:rsidR="00494099" w:rsidRDefault="00494099" w:rsidP="00494099">
      <w:pPr>
        <w:spacing w:after="0"/>
        <w:rPr>
          <w:rFonts w:ascii="Century Gothic" w:hAnsi="Century Gothic"/>
          <w:sz w:val="24"/>
          <w:szCs w:val="24"/>
        </w:rPr>
      </w:pPr>
    </w:p>
    <w:p w14:paraId="584F2244" w14:textId="6EE269DC" w:rsidR="00EE2DE2" w:rsidRDefault="00EE2DE2" w:rsidP="00494099">
      <w:pPr>
        <w:spacing w:after="0"/>
        <w:rPr>
          <w:rFonts w:ascii="Century Gothic" w:hAnsi="Century Gothic"/>
          <w:sz w:val="24"/>
          <w:szCs w:val="24"/>
        </w:rPr>
      </w:pPr>
    </w:p>
    <w:p w14:paraId="7F0410FB" w14:textId="77777777" w:rsidR="00EE2DE2" w:rsidRDefault="00EE2DE2" w:rsidP="00494099">
      <w:pPr>
        <w:spacing w:after="0"/>
        <w:rPr>
          <w:rFonts w:ascii="Century Gothic" w:hAnsi="Century Gothic"/>
          <w:sz w:val="24"/>
          <w:szCs w:val="24"/>
        </w:rPr>
      </w:pPr>
    </w:p>
    <w:p w14:paraId="255A83DA" w14:textId="737C0FBC" w:rsidR="005752DC" w:rsidRPr="0082589A" w:rsidRDefault="00A20D3F" w:rsidP="00C81CC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Aktueller </w:t>
      </w:r>
      <w:r w:rsidR="00EE2C6E">
        <w:rPr>
          <w:rFonts w:ascii="Century Gothic" w:hAnsi="Century Gothic"/>
          <w:b/>
          <w:sz w:val="24"/>
          <w:szCs w:val="24"/>
        </w:rPr>
        <w:t>Referentenentwurf zu einer erneuten Änderung des Waffenrechts / Aktionismus und Gängelung der gesetzestreuen Sportschützen!</w:t>
      </w:r>
      <w:r w:rsidR="00575A82">
        <w:rPr>
          <w:rFonts w:ascii="Century Gothic" w:hAnsi="Century Gothic"/>
          <w:b/>
          <w:sz w:val="24"/>
          <w:szCs w:val="24"/>
        </w:rPr>
        <w:t xml:space="preserve"> / Bürokratie-monster ohne jeglichen Sicherheitsgewinn!</w:t>
      </w:r>
    </w:p>
    <w:p w14:paraId="1C810063" w14:textId="77777777" w:rsidR="005752DC" w:rsidRDefault="005752DC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1BF8A6AA" w14:textId="647B55B2" w:rsidR="0082589A" w:rsidRDefault="0082589A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6A936AB9" w14:textId="77777777" w:rsidR="00745F45" w:rsidRDefault="00745F45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59C14502" w14:textId="1F804BE0" w:rsidR="00530FF2" w:rsidRDefault="00EE2C6E" w:rsidP="005752D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Sehr geehrte</w:t>
      </w:r>
      <w:r w:rsidR="006141BD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Bundestagsabgeordnete</w:t>
      </w:r>
      <w:r w:rsidR="006141BD">
        <w:rPr>
          <w:rFonts w:ascii="Century Gothic" w:hAnsi="Century Gothic"/>
          <w:sz w:val="24"/>
          <w:szCs w:val="24"/>
        </w:rPr>
        <w:t>r</w:t>
      </w:r>
      <w:r w:rsidR="00C81CC7">
        <w:rPr>
          <w:rFonts w:ascii="Century Gothic" w:hAnsi="Century Gothic"/>
          <w:sz w:val="24"/>
          <w:szCs w:val="24"/>
        </w:rPr>
        <w:t>,</w:t>
      </w:r>
    </w:p>
    <w:p w14:paraId="650AA57B" w14:textId="77777777" w:rsidR="00745F45" w:rsidRDefault="00745F45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2D03A031" w14:textId="2F05B361" w:rsidR="00EE2C6E" w:rsidRDefault="00C81CC7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EE2C6E">
        <w:rPr>
          <w:rFonts w:ascii="Century Gothic" w:hAnsi="Century Gothic"/>
          <w:sz w:val="24"/>
          <w:szCs w:val="24"/>
        </w:rPr>
        <w:t xml:space="preserve">un ist die Debatte über die Verschärfung des Waffenrechtes mit der Einreichung des Referentenentwurfes wieder einmal eröffnet worden. Wie erwartet enthält der Entwurf zahlreiche </w:t>
      </w:r>
      <w:r>
        <w:rPr>
          <w:rFonts w:ascii="Century Gothic" w:hAnsi="Century Gothic"/>
          <w:sz w:val="24"/>
          <w:szCs w:val="24"/>
        </w:rPr>
        <w:t>einschneidende</w:t>
      </w:r>
      <w:r w:rsidR="00EE2C6E">
        <w:rPr>
          <w:rFonts w:ascii="Century Gothic" w:hAnsi="Century Gothic"/>
          <w:sz w:val="24"/>
          <w:szCs w:val="24"/>
        </w:rPr>
        <w:t xml:space="preserve"> und nicht problemlösende Rechts-</w:t>
      </w:r>
      <w:proofErr w:type="spellStart"/>
      <w:r w:rsidR="00EE2C6E">
        <w:rPr>
          <w:rFonts w:ascii="Century Gothic" w:hAnsi="Century Gothic"/>
          <w:sz w:val="24"/>
          <w:szCs w:val="24"/>
        </w:rPr>
        <w:t>Verschär</w:t>
      </w:r>
      <w:proofErr w:type="spellEnd"/>
      <w:r>
        <w:rPr>
          <w:rFonts w:ascii="Century Gothic" w:hAnsi="Century Gothic"/>
          <w:sz w:val="24"/>
          <w:szCs w:val="24"/>
        </w:rPr>
        <w:t>-</w:t>
      </w:r>
      <w:proofErr w:type="spellStart"/>
      <w:r w:rsidR="00EE2C6E">
        <w:rPr>
          <w:rFonts w:ascii="Century Gothic" w:hAnsi="Century Gothic"/>
          <w:sz w:val="24"/>
          <w:szCs w:val="24"/>
        </w:rPr>
        <w:t>fungen</w:t>
      </w:r>
      <w:proofErr w:type="spellEnd"/>
      <w:r w:rsidR="00EE2C6E">
        <w:rPr>
          <w:rFonts w:ascii="Century Gothic" w:hAnsi="Century Gothic"/>
          <w:sz w:val="24"/>
          <w:szCs w:val="24"/>
        </w:rPr>
        <w:t xml:space="preserve"> für den Sportschützen!</w:t>
      </w:r>
    </w:p>
    <w:p w14:paraId="08BF6117" w14:textId="77777777" w:rsidR="00C81CC7" w:rsidRDefault="00C81CC7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4475D1F" w14:textId="5E70F8CD" w:rsidR="00EE2C6E" w:rsidRDefault="00EE2C6E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Statt beim eigentlichen Problem – der Bekämpfung der illegalen Waffen – griffige Lösungen zu bieten, verfällt die Politik wieder einmal in Aktionismus und gängelt stattdessen die schon immer gesetzestreuen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Sportschützen</w:t>
      </w:r>
      <w:r w:rsidR="00C81CC7">
        <w:rPr>
          <w:rFonts w:ascii="Century Gothic" w:hAnsi="Century Gothic"/>
          <w:sz w:val="24"/>
          <w:szCs w:val="24"/>
        </w:rPr>
        <w:t>:innen</w:t>
      </w:r>
      <w:proofErr w:type="spellEnd"/>
      <w:proofErr w:type="gramEnd"/>
      <w:r w:rsidR="00C81CC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und Jäger.</w:t>
      </w:r>
    </w:p>
    <w:p w14:paraId="11993098" w14:textId="57A8DD2E" w:rsidR="00EE2C6E" w:rsidRDefault="00A20D3F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Bereits die vergangenen Verschärfungen waren ohne Sicherheitsgewinn in Bezug auf den konsequenten Kampf gegen den illegalen Waffenbesitz in Deutschland!</w:t>
      </w:r>
    </w:p>
    <w:p w14:paraId="7453868A" w14:textId="77777777" w:rsidR="00EE2C6E" w:rsidRDefault="00EE2C6E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5389B53" w14:textId="65D79046" w:rsidR="00D35C54" w:rsidRDefault="00A20D3F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r w:rsidR="00C81CC7">
        <w:rPr>
          <w:rFonts w:ascii="Century Gothic" w:hAnsi="Century Gothic"/>
          <w:sz w:val="24"/>
          <w:szCs w:val="24"/>
        </w:rPr>
        <w:t xml:space="preserve">jetzt </w:t>
      </w:r>
      <w:r>
        <w:rPr>
          <w:rFonts w:ascii="Century Gothic" w:hAnsi="Century Gothic"/>
          <w:sz w:val="24"/>
          <w:szCs w:val="24"/>
        </w:rPr>
        <w:t xml:space="preserve">vorgeschlagene Regelabfrage bei Gesundheitsämtern stellt die ärztliche Schweigepflicht klar in Frage und schränkt diese unverhältnismäßig ein! Weiterhin werden dadurch die Schützinnen und Schützen </w:t>
      </w:r>
      <w:r w:rsidR="00C81CC7">
        <w:rPr>
          <w:rFonts w:ascii="Century Gothic" w:hAnsi="Century Gothic"/>
          <w:sz w:val="24"/>
          <w:szCs w:val="24"/>
        </w:rPr>
        <w:t xml:space="preserve">wieder einmal </w:t>
      </w:r>
      <w:r>
        <w:rPr>
          <w:rFonts w:ascii="Century Gothic" w:hAnsi="Century Gothic"/>
          <w:sz w:val="24"/>
          <w:szCs w:val="24"/>
        </w:rPr>
        <w:t xml:space="preserve">in einen </w:t>
      </w:r>
      <w:proofErr w:type="spellStart"/>
      <w:r>
        <w:rPr>
          <w:rFonts w:ascii="Century Gothic" w:hAnsi="Century Gothic"/>
          <w:sz w:val="24"/>
          <w:szCs w:val="24"/>
        </w:rPr>
        <w:t>unbe</w:t>
      </w:r>
      <w:r w:rsidR="00C81CC7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rechtigten</w:t>
      </w:r>
      <w:proofErr w:type="spellEnd"/>
      <w:r>
        <w:rPr>
          <w:rFonts w:ascii="Century Gothic" w:hAnsi="Century Gothic"/>
          <w:sz w:val="24"/>
          <w:szCs w:val="24"/>
        </w:rPr>
        <w:t xml:space="preserve"> „Generalverdacht“ gedrängt. Allein die Entscheidung durch den Arzt oder Verantwortlichen des Gesundheitsamtes zu fällen bei welchem Menschen eine Waffenrechtlich relevante, psychische Störung oder Wahnvorstellung vorliegt</w:t>
      </w:r>
      <w:r w:rsidR="00575A82">
        <w:rPr>
          <w:rFonts w:ascii="Century Gothic" w:hAnsi="Century Gothic"/>
          <w:sz w:val="24"/>
          <w:szCs w:val="24"/>
        </w:rPr>
        <w:t xml:space="preserve">, ist </w:t>
      </w:r>
      <w:r w:rsidR="00C81CC7">
        <w:rPr>
          <w:rFonts w:ascii="Century Gothic" w:hAnsi="Century Gothic"/>
          <w:sz w:val="24"/>
          <w:szCs w:val="24"/>
        </w:rPr>
        <w:t xml:space="preserve">unvorstellbar und </w:t>
      </w:r>
      <w:r w:rsidR="00575A82">
        <w:rPr>
          <w:rFonts w:ascii="Century Gothic" w:hAnsi="Century Gothic"/>
          <w:sz w:val="24"/>
          <w:szCs w:val="24"/>
        </w:rPr>
        <w:t>nicht verantwortbar.</w:t>
      </w:r>
    </w:p>
    <w:p w14:paraId="2C6E36E8" w14:textId="1B3D3C46" w:rsidR="00575A82" w:rsidRDefault="00575A8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73E02AD" w14:textId="19C6BF8C" w:rsidR="00575A82" w:rsidRDefault="00575A8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Auch die geplante Vorlage eines amts- oder fachärztlichen oder fachpsycho-logischen Zeugnisses für Personen, die erstmalig eine Waffenrechtliche Erlaubnis beantragen, greift – wie bei der o.g. Regelabfrage der Gesundheitsämter – in den Grundsatz der ärztlichen Schweigepflicht ein und stellt wieder alle Schützinnen und Schützen unter Generalverdacht!</w:t>
      </w:r>
    </w:p>
    <w:p w14:paraId="78AF29D5" w14:textId="77777777" w:rsidR="00C81CC7" w:rsidRDefault="00C81CC7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0940E2D" w14:textId="10FAE3E6" w:rsidR="00575A82" w:rsidRDefault="00575A8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Solche obligatorisch vorzulegende „Psychogutachten“ für legale Waffenbesitzer gehen an der realen Situation - der Kampf gegen den illegalen Waffenbesitz – gnadenlos vorbei</w:t>
      </w:r>
      <w:r w:rsidR="00C81CC7">
        <w:rPr>
          <w:rFonts w:ascii="Century Gothic" w:hAnsi="Century Gothic"/>
          <w:sz w:val="24"/>
          <w:szCs w:val="24"/>
        </w:rPr>
        <w:t>!</w:t>
      </w:r>
    </w:p>
    <w:p w14:paraId="7FEE7E97" w14:textId="7B7B6CC0" w:rsidR="005C5E23" w:rsidRDefault="005C5E23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907F25E" w14:textId="1741A223" w:rsidR="005C5E23" w:rsidRDefault="00575A8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Nachholen einer Sachkundeprüfung, Beantragung eines kleinen Waffen</w:t>
      </w:r>
      <w:r w:rsidR="00C81CC7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scheines für Schützinnen und Schützen, die seit über 20 Jahren eine Armbrust besitzen und den Schießsport ausüben, ist lediglich ein weiterer „Tritt“ gegen den ausübenden </w:t>
      </w:r>
      <w:proofErr w:type="spellStart"/>
      <w:r>
        <w:rPr>
          <w:rFonts w:ascii="Century Gothic" w:hAnsi="Century Gothic"/>
          <w:sz w:val="24"/>
          <w:szCs w:val="24"/>
        </w:rPr>
        <w:t>Sportschützen:in</w:t>
      </w:r>
      <w:proofErr w:type="spellEnd"/>
      <w:r>
        <w:rPr>
          <w:rFonts w:ascii="Century Gothic" w:hAnsi="Century Gothic"/>
          <w:sz w:val="24"/>
          <w:szCs w:val="24"/>
        </w:rPr>
        <w:t xml:space="preserve"> und </w:t>
      </w:r>
      <w:r w:rsidR="001C3709">
        <w:rPr>
          <w:rFonts w:ascii="Century Gothic" w:hAnsi="Century Gothic"/>
          <w:sz w:val="24"/>
          <w:szCs w:val="24"/>
        </w:rPr>
        <w:t>kann nur als vollkommen unnötige waffen</w:t>
      </w:r>
      <w:r w:rsidR="00A34F5A">
        <w:rPr>
          <w:rFonts w:ascii="Century Gothic" w:hAnsi="Century Gothic"/>
          <w:sz w:val="24"/>
          <w:szCs w:val="24"/>
        </w:rPr>
        <w:t>-</w:t>
      </w:r>
      <w:r w:rsidR="001C3709">
        <w:rPr>
          <w:rFonts w:ascii="Century Gothic" w:hAnsi="Century Gothic"/>
          <w:sz w:val="24"/>
          <w:szCs w:val="24"/>
        </w:rPr>
        <w:t>rechtliche Verschärfung ohne jeglichen Sicherheitsgewinn zu sehen sein!</w:t>
      </w:r>
    </w:p>
    <w:p w14:paraId="4BF5CAB1" w14:textId="77777777" w:rsidR="00A34F5A" w:rsidRDefault="00A34F5A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10E447BE" w14:textId="036389F8" w:rsidR="001C3709" w:rsidRDefault="001C3709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Widersinnigkeit liegt auf der Hand, wenn tausende von Armbrustschützinnen und Schützen, die jahrelang professionell und verantwortungsbewusst mit dem Sportgerät umgegangen sind, einen kleinen Waffenschein beantragen und </w:t>
      </w:r>
      <w:r w:rsidR="00A34F5A">
        <w:rPr>
          <w:rFonts w:ascii="Century Gothic" w:hAnsi="Century Gothic"/>
          <w:sz w:val="24"/>
          <w:szCs w:val="24"/>
        </w:rPr>
        <w:t xml:space="preserve">eine </w:t>
      </w:r>
      <w:r>
        <w:rPr>
          <w:rFonts w:ascii="Century Gothic" w:hAnsi="Century Gothic"/>
          <w:sz w:val="24"/>
          <w:szCs w:val="24"/>
        </w:rPr>
        <w:t>Sachkundeprüfung nachholen müssen...</w:t>
      </w:r>
    </w:p>
    <w:p w14:paraId="73A4F146" w14:textId="19C8F774" w:rsidR="001C3709" w:rsidRDefault="001C3709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DC9DBB5" w14:textId="62F460A6" w:rsidR="001C3709" w:rsidRDefault="001C3709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Statistik beleg</w:t>
      </w:r>
      <w:r w:rsidR="000875E7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klipp und klar: die illegalen Waffen sind das Problem, nicht die legalen!</w:t>
      </w:r>
    </w:p>
    <w:p w14:paraId="562767DC" w14:textId="40C83B0A" w:rsidR="001C3709" w:rsidRDefault="001C3709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C8DB97C" w14:textId="3D0F2718" w:rsidR="001C3709" w:rsidRDefault="001C3709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C3709">
        <w:rPr>
          <w:rFonts w:ascii="Century Gothic" w:hAnsi="Century Gothic"/>
          <w:sz w:val="24"/>
          <w:szCs w:val="24"/>
        </w:rPr>
        <w:t>Wie aus der Statistik des Bayerischen Landeskriminalamtes für die Jahre 2018 – 2020 zu entnehmen ist, sind lediglich Jagd- und Trainingsunfälle mit Personenschäden durch legale Waffen zu verzeichnen.</w:t>
      </w:r>
    </w:p>
    <w:p w14:paraId="095B99D1" w14:textId="77777777" w:rsidR="00A34F5A" w:rsidRDefault="00A34F5A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3D0AE61" w14:textId="6805B5B5" w:rsidR="001C3709" w:rsidRDefault="001C3709" w:rsidP="00C81CC7">
      <w:pPr>
        <w:pStyle w:val="Listenabsatz"/>
        <w:numPr>
          <w:ilvl w:val="0"/>
          <w:numId w:val="9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2020: acht Personenschäden durch strafrechtlich relevanten Gebrauch erlaubnispflichtiger Schusswaffen. In KEINEM dieser Fälle befand sich die Tatwaffe im legalen Besitz des Täters</w:t>
      </w:r>
    </w:p>
    <w:p w14:paraId="3E18CEE6" w14:textId="62CFEA22" w:rsidR="001C3709" w:rsidRDefault="001C3709" w:rsidP="00C81CC7">
      <w:pPr>
        <w:pStyle w:val="Listenabsatz"/>
        <w:numPr>
          <w:ilvl w:val="0"/>
          <w:numId w:val="9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2019: 52 Personenschäden</w:t>
      </w:r>
      <w:r w:rsidR="00F637F2">
        <w:rPr>
          <w:rFonts w:ascii="Century Gothic" w:hAnsi="Century Gothic"/>
          <w:sz w:val="24"/>
          <w:szCs w:val="24"/>
        </w:rPr>
        <w:t xml:space="preserve"> durch </w:t>
      </w:r>
      <w:r w:rsidR="00F637F2" w:rsidRPr="00F637F2">
        <w:rPr>
          <w:rFonts w:ascii="Century Gothic" w:hAnsi="Century Gothic"/>
          <w:sz w:val="24"/>
          <w:szCs w:val="24"/>
        </w:rPr>
        <w:t xml:space="preserve">strafrechtlich relevanten Gebrauch erlaubnispflichtiger Schusswaffen. Bei den Fällen mit Fremdbeteiligung befand sich die Tatwaffe nur in einem Fall im legalen Besitz des Schützen. </w:t>
      </w:r>
      <w:r w:rsidR="00F637F2">
        <w:rPr>
          <w:rFonts w:ascii="Century Gothic" w:hAnsi="Century Gothic"/>
          <w:sz w:val="24"/>
          <w:szCs w:val="24"/>
        </w:rPr>
        <w:t>(</w:t>
      </w:r>
      <w:r w:rsidR="00F637F2" w:rsidRPr="00F637F2">
        <w:rPr>
          <w:rFonts w:ascii="Century Gothic" w:hAnsi="Century Gothic"/>
          <w:sz w:val="24"/>
          <w:szCs w:val="24"/>
        </w:rPr>
        <w:t>Trainingsunfall Sicherheitsdienst</w:t>
      </w:r>
      <w:r w:rsidR="00F637F2">
        <w:rPr>
          <w:rFonts w:ascii="Century Gothic" w:hAnsi="Century Gothic"/>
          <w:sz w:val="24"/>
          <w:szCs w:val="24"/>
        </w:rPr>
        <w:t>)</w:t>
      </w:r>
      <w:r w:rsidR="00F637F2" w:rsidRPr="00F637F2">
        <w:rPr>
          <w:rFonts w:ascii="Century Gothic" w:hAnsi="Century Gothic"/>
          <w:sz w:val="24"/>
          <w:szCs w:val="24"/>
        </w:rPr>
        <w:t>.</w:t>
      </w:r>
    </w:p>
    <w:p w14:paraId="5D561622" w14:textId="35A6D8FF" w:rsidR="00F637F2" w:rsidRDefault="00F637F2" w:rsidP="00C81CC7">
      <w:pPr>
        <w:pStyle w:val="Listenabsatz"/>
        <w:numPr>
          <w:ilvl w:val="0"/>
          <w:numId w:val="9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2018: </w:t>
      </w:r>
      <w:r w:rsidRPr="00F637F2">
        <w:rPr>
          <w:rFonts w:ascii="Century Gothic" w:hAnsi="Century Gothic"/>
          <w:sz w:val="24"/>
          <w:szCs w:val="24"/>
        </w:rPr>
        <w:t>60 Personenschäden durch strafrechtlich relevanten Gebrauch erlaubnispflichtiger Schusswaffen. In nur einem Fall befand sich die Waffe im legalen Besitz: Hierbei handelte es sich um einen tödlichen Jagdunfall.</w:t>
      </w:r>
    </w:p>
    <w:p w14:paraId="5CDF71FF" w14:textId="7E0C4A41" w:rsidR="00F637F2" w:rsidRDefault="00F637F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8898EBC" w14:textId="5AACC3EE" w:rsidR="00F637F2" w:rsidRDefault="00F637F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den o.g. Jahren ist in Bayern kein einziger strafrechtlich relevanter Vorfall mit Beteiligung von Sportschützen festzustellen!</w:t>
      </w:r>
    </w:p>
    <w:p w14:paraId="30E55B4D" w14:textId="1A288F17" w:rsidR="00F637F2" w:rsidRDefault="00F637F2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106269F" w14:textId="04045D42" w:rsidR="00A34F5A" w:rsidRDefault="00A34F5A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67A68FF" w14:textId="77777777" w:rsidR="00A34F5A" w:rsidRDefault="00A34F5A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C5C1BE1" w14:textId="77777777" w:rsidR="00A34F5A" w:rsidRDefault="00C81CC7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Statt weiterer und immer neuer Waffenrechtsverschärfungen </w:t>
      </w:r>
      <w:r w:rsidR="00A34F5A">
        <w:rPr>
          <w:rFonts w:ascii="Century Gothic" w:hAnsi="Century Gothic"/>
          <w:sz w:val="24"/>
          <w:szCs w:val="24"/>
        </w:rPr>
        <w:t>wäre</w:t>
      </w:r>
      <w:r>
        <w:rPr>
          <w:rFonts w:ascii="Century Gothic" w:hAnsi="Century Gothic"/>
          <w:sz w:val="24"/>
          <w:szCs w:val="24"/>
        </w:rPr>
        <w:t xml:space="preserve"> eine Stärkung der Schützenvereine</w:t>
      </w:r>
      <w:r w:rsidR="00A34F5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34F5A">
        <w:rPr>
          <w:rFonts w:ascii="Century Gothic" w:hAnsi="Century Gothic"/>
          <w:sz w:val="24"/>
          <w:szCs w:val="24"/>
        </w:rPr>
        <w:t>sinnhaftiger</w:t>
      </w:r>
      <w:proofErr w:type="spellEnd"/>
      <w:r>
        <w:rPr>
          <w:rFonts w:ascii="Century Gothic" w:hAnsi="Century Gothic"/>
          <w:sz w:val="24"/>
          <w:szCs w:val="24"/>
        </w:rPr>
        <w:t xml:space="preserve">! </w:t>
      </w:r>
    </w:p>
    <w:p w14:paraId="00354406" w14:textId="77777777" w:rsidR="00A34F5A" w:rsidRDefault="00A34F5A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DC41555" w14:textId="167F55E7" w:rsidR="00F637F2" w:rsidRPr="00F637F2" w:rsidRDefault="00C81CC7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C81CC7">
        <w:rPr>
          <w:rFonts w:ascii="Century Gothic" w:hAnsi="Century Gothic"/>
          <w:sz w:val="24"/>
          <w:szCs w:val="24"/>
        </w:rPr>
        <w:t>Denn Schützenvereine schaffen soziale Bindung und Halt – durch bürger</w:t>
      </w:r>
      <w:r w:rsidR="00A34F5A">
        <w:rPr>
          <w:rFonts w:ascii="Century Gothic" w:hAnsi="Century Gothic"/>
          <w:sz w:val="24"/>
          <w:szCs w:val="24"/>
        </w:rPr>
        <w:t>-</w:t>
      </w:r>
      <w:proofErr w:type="spellStart"/>
      <w:r w:rsidRPr="00C81CC7">
        <w:rPr>
          <w:rFonts w:ascii="Century Gothic" w:hAnsi="Century Gothic"/>
          <w:sz w:val="24"/>
          <w:szCs w:val="24"/>
        </w:rPr>
        <w:t>schaftliches</w:t>
      </w:r>
      <w:proofErr w:type="spellEnd"/>
      <w:r w:rsidRPr="00C81CC7">
        <w:rPr>
          <w:rFonts w:ascii="Century Gothic" w:hAnsi="Century Gothic"/>
          <w:sz w:val="24"/>
          <w:szCs w:val="24"/>
        </w:rPr>
        <w:t xml:space="preserve"> Engagement, im Sinne der freiheitlich-demokratischen Grundordnung, ungeachtet der Herkunft der Mitglieder. Dies ist der beste Weg, Extremismus und Gewalt den Boden zu entziehen.</w:t>
      </w:r>
    </w:p>
    <w:p w14:paraId="36681011" w14:textId="77777777" w:rsidR="005C5E23" w:rsidRDefault="005C5E23" w:rsidP="00C81CC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4CE08C2" w14:textId="2C78515B" w:rsidR="007D066A" w:rsidRDefault="00A34F5A" w:rsidP="005752D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Freundliche</w:t>
      </w:r>
      <w:r w:rsidR="007D066A">
        <w:rPr>
          <w:rFonts w:ascii="Century Gothic" w:hAnsi="Century Gothic"/>
          <w:sz w:val="24"/>
          <w:szCs w:val="24"/>
        </w:rPr>
        <w:t xml:space="preserve"> Grüße </w:t>
      </w:r>
    </w:p>
    <w:p w14:paraId="6BD5683B" w14:textId="6BB5365F" w:rsidR="007D066A" w:rsidRDefault="007D066A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21F3CB6E" w14:textId="20D00A9D" w:rsidR="00D35C54" w:rsidRDefault="00D35C54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6833DFBB" w14:textId="77777777" w:rsidR="00D35C54" w:rsidRDefault="00D35C54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22A4E796" w14:textId="77777777" w:rsidR="0082589A" w:rsidRDefault="0082589A" w:rsidP="005752DC">
      <w:pPr>
        <w:spacing w:after="0"/>
        <w:rPr>
          <w:rFonts w:ascii="Century Gothic" w:hAnsi="Century Gothic"/>
          <w:sz w:val="24"/>
          <w:szCs w:val="24"/>
        </w:rPr>
      </w:pPr>
    </w:p>
    <w:p w14:paraId="2B551A9E" w14:textId="4FB20447" w:rsidR="0082589A" w:rsidRDefault="0082589A" w:rsidP="005752DC">
      <w:pPr>
        <w:spacing w:after="0"/>
        <w:rPr>
          <w:rFonts w:ascii="Century Gothic" w:hAnsi="Century Gothic"/>
          <w:sz w:val="24"/>
          <w:szCs w:val="24"/>
        </w:rPr>
      </w:pPr>
    </w:p>
    <w:sectPr w:rsidR="0082589A" w:rsidSect="0082589A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7BF2"/>
    <w:multiLevelType w:val="hybridMultilevel"/>
    <w:tmpl w:val="90D6C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11F"/>
    <w:multiLevelType w:val="hybridMultilevel"/>
    <w:tmpl w:val="4A7CF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268A"/>
    <w:multiLevelType w:val="hybridMultilevel"/>
    <w:tmpl w:val="89201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B18"/>
    <w:multiLevelType w:val="hybridMultilevel"/>
    <w:tmpl w:val="F2A6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3A9F"/>
    <w:multiLevelType w:val="hybridMultilevel"/>
    <w:tmpl w:val="8B941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676"/>
    <w:multiLevelType w:val="hybridMultilevel"/>
    <w:tmpl w:val="2ABE0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99"/>
    <w:multiLevelType w:val="hybridMultilevel"/>
    <w:tmpl w:val="5ED68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3C5D"/>
    <w:multiLevelType w:val="hybridMultilevel"/>
    <w:tmpl w:val="38AA2AD8"/>
    <w:lvl w:ilvl="0" w:tplc="4DC6F4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19C4"/>
    <w:multiLevelType w:val="hybridMultilevel"/>
    <w:tmpl w:val="9AEAB31E"/>
    <w:lvl w:ilvl="0" w:tplc="498878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5396">
    <w:abstractNumId w:val="8"/>
  </w:num>
  <w:num w:numId="2" w16cid:durableId="1299990760">
    <w:abstractNumId w:val="5"/>
  </w:num>
  <w:num w:numId="3" w16cid:durableId="1149708287">
    <w:abstractNumId w:val="7"/>
  </w:num>
  <w:num w:numId="4" w16cid:durableId="1900171719">
    <w:abstractNumId w:val="1"/>
  </w:num>
  <w:num w:numId="5" w16cid:durableId="1205407987">
    <w:abstractNumId w:val="4"/>
  </w:num>
  <w:num w:numId="6" w16cid:durableId="2064407978">
    <w:abstractNumId w:val="3"/>
  </w:num>
  <w:num w:numId="7" w16cid:durableId="1348097789">
    <w:abstractNumId w:val="2"/>
  </w:num>
  <w:num w:numId="8" w16cid:durableId="93795199">
    <w:abstractNumId w:val="6"/>
  </w:num>
  <w:num w:numId="9" w16cid:durableId="19297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D4"/>
    <w:rsid w:val="000875E7"/>
    <w:rsid w:val="00164A44"/>
    <w:rsid w:val="001C3709"/>
    <w:rsid w:val="0023749B"/>
    <w:rsid w:val="00330236"/>
    <w:rsid w:val="00487948"/>
    <w:rsid w:val="00494099"/>
    <w:rsid w:val="004D1E36"/>
    <w:rsid w:val="00530FF2"/>
    <w:rsid w:val="005752DC"/>
    <w:rsid w:val="00575A82"/>
    <w:rsid w:val="00593D3C"/>
    <w:rsid w:val="005C5E23"/>
    <w:rsid w:val="006141BD"/>
    <w:rsid w:val="006E2E60"/>
    <w:rsid w:val="00745F45"/>
    <w:rsid w:val="0075615E"/>
    <w:rsid w:val="007D066A"/>
    <w:rsid w:val="0082589A"/>
    <w:rsid w:val="008304B7"/>
    <w:rsid w:val="0084281B"/>
    <w:rsid w:val="0092317D"/>
    <w:rsid w:val="00A20D3F"/>
    <w:rsid w:val="00A34F5A"/>
    <w:rsid w:val="00B35FF4"/>
    <w:rsid w:val="00B65EEA"/>
    <w:rsid w:val="00B917D4"/>
    <w:rsid w:val="00C651AD"/>
    <w:rsid w:val="00C81CC7"/>
    <w:rsid w:val="00D35C54"/>
    <w:rsid w:val="00EE2C6E"/>
    <w:rsid w:val="00EE2DE2"/>
    <w:rsid w:val="00F339A6"/>
    <w:rsid w:val="00F41789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5930"/>
  <w15:chartTrackingRefBased/>
  <w15:docId w15:val="{6850B3E6-E06D-4FB6-BBD4-F497915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52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317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92317D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 Höfler</cp:lastModifiedBy>
  <cp:revision>2</cp:revision>
  <cp:lastPrinted>2023-01-11T12:46:00Z</cp:lastPrinted>
  <dcterms:created xsi:type="dcterms:W3CDTF">2023-01-11T12:49:00Z</dcterms:created>
  <dcterms:modified xsi:type="dcterms:W3CDTF">2023-01-11T12:49:00Z</dcterms:modified>
</cp:coreProperties>
</file>